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76BCC" w14:textId="66C3A4E2" w:rsidR="00D05B9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4</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627C80">
        <w:rPr>
          <w:rFonts w:eastAsia="SimSun" w:cs="Arial"/>
          <w:b/>
          <w:kern w:val="0"/>
          <w:sz w:val="28"/>
          <w:szCs w:val="28"/>
          <w:lang w:val="en-US" w:eastAsia="en-US"/>
        </w:rPr>
        <w:t xml:space="preserve">      </w:t>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CD49FC">
        <w:rPr>
          <w:rFonts w:eastAsia="SimSun" w:cs="Arial"/>
          <w:b/>
          <w:kern w:val="0"/>
          <w:sz w:val="28"/>
          <w:szCs w:val="28"/>
          <w:lang w:val="en-US" w:eastAsia="zh-CN"/>
        </w:rPr>
        <w:t xml:space="preserve"> </w:t>
      </w:r>
      <w:r w:rsidR="00CD49FC" w:rsidRPr="00CD49FC">
        <w:rPr>
          <w:rFonts w:eastAsia="SimSun" w:cs="Arial"/>
          <w:b/>
          <w:kern w:val="0"/>
          <w:sz w:val="28"/>
          <w:szCs w:val="28"/>
          <w:lang w:val="en-US" w:eastAsia="en-US"/>
        </w:rPr>
        <w:t>R2-2312086</w:t>
      </w:r>
    </w:p>
    <w:p w14:paraId="7A0F1AD7" w14:textId="2FD7FDDB" w:rsidR="00D05B97" w:rsidRDefault="00000000">
      <w:pPr>
        <w:keepLines/>
        <w:widowControl/>
        <w:tabs>
          <w:tab w:val="left" w:pos="567"/>
        </w:tabs>
        <w:adjustRightInd w:val="0"/>
        <w:snapToGrid w:val="0"/>
        <w:spacing w:after="0" w:line="276" w:lineRule="auto"/>
        <w:jc w:val="left"/>
        <w:rPr>
          <w:rFonts w:eastAsia="SimSun" w:cs="Arial"/>
          <w:b/>
          <w:kern w:val="0"/>
          <w:sz w:val="22"/>
          <w:szCs w:val="22"/>
          <w:lang w:val="en-US" w:eastAsia="zh-CN"/>
        </w:rPr>
      </w:pPr>
      <w:r>
        <w:rPr>
          <w:b/>
          <w:bCs/>
          <w:sz w:val="28"/>
          <w:szCs w:val="28"/>
        </w:rPr>
        <w:t>Chicago, USA, Nov. 13</w:t>
      </w:r>
      <w:r>
        <w:rPr>
          <w:b/>
          <w:bCs/>
          <w:sz w:val="28"/>
          <w:szCs w:val="28"/>
          <w:vertAlign w:val="superscript"/>
        </w:rPr>
        <w:t>th</w:t>
      </w:r>
      <w:r>
        <w:rPr>
          <w:b/>
          <w:bCs/>
          <w:sz w:val="28"/>
          <w:szCs w:val="28"/>
        </w:rPr>
        <w:t xml:space="preserve"> – 17</w:t>
      </w:r>
      <w:r>
        <w:rPr>
          <w:b/>
          <w:bCs/>
          <w:sz w:val="28"/>
          <w:szCs w:val="28"/>
          <w:vertAlign w:val="superscript"/>
        </w:rPr>
        <w:t>th</w:t>
      </w:r>
      <w:r>
        <w:rPr>
          <w:b/>
          <w:bCs/>
          <w:sz w:val="28"/>
          <w:szCs w:val="28"/>
        </w:rPr>
        <w:t>, 2023</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p>
    <w:p w14:paraId="3085B0FA" w14:textId="77777777" w:rsidR="00D05B9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3E33EDD" w14:textId="77777777" w:rsidR="00D05B9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0FEF682C" w14:textId="77777777" w:rsidR="00D05B9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w:t>
      </w:r>
    </w:p>
    <w:p w14:paraId="6E7C2930" w14:textId="77777777" w:rsidR="00D05B9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C450209" w14:textId="77777777" w:rsidR="00D05B9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6E6BE6D0" w14:textId="77777777" w:rsidR="00D05B97"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w:t>
      </w:r>
      <w:proofErr w:type="gramStart"/>
      <w:r>
        <w:rPr>
          <w:rFonts w:cs="Arial"/>
          <w:color w:val="000000"/>
        </w:rPr>
        <w:t>e.g.</w:t>
      </w:r>
      <w:proofErr w:type="gramEnd"/>
      <w:r>
        <w:rPr>
          <w:rFonts w:cs="Arial"/>
          <w:color w:val="000000"/>
        </w:rPr>
        <w:t xml:space="preserve">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3C82A7B5" w14:textId="77777777" w:rsidR="00D05B97" w:rsidRDefault="00000000">
      <w:pPr>
        <w:rPr>
          <w:lang w:val="en-US" w:eastAsia="zh-CN"/>
        </w:rPr>
      </w:pPr>
      <w:r>
        <w:rPr>
          <w:rFonts w:hint="eastAsia"/>
          <w:lang w:val="en-US" w:eastAsia="zh-CN"/>
        </w:rPr>
        <w:t>In RAN2#121bis meeting, the following agreements have been made:</w:t>
      </w:r>
    </w:p>
    <w:tbl>
      <w:tblPr>
        <w:tblStyle w:val="TableGrid"/>
        <w:tblW w:w="0" w:type="auto"/>
        <w:tblLook w:val="04A0" w:firstRow="1" w:lastRow="0" w:firstColumn="1" w:lastColumn="0" w:noHBand="0" w:noVBand="1"/>
      </w:tblPr>
      <w:tblGrid>
        <w:gridCol w:w="9771"/>
      </w:tblGrid>
      <w:tr w:rsidR="00D05B97" w14:paraId="4AF29B44" w14:textId="77777777">
        <w:tc>
          <w:tcPr>
            <w:tcW w:w="9997" w:type="dxa"/>
          </w:tcPr>
          <w:p w14:paraId="7B68A530" w14:textId="77777777" w:rsidR="00D05B97" w:rsidRDefault="00000000">
            <w:pPr>
              <w:numPr>
                <w:ilvl w:val="255"/>
                <w:numId w:val="0"/>
              </w:numPr>
              <w:tabs>
                <w:tab w:val="left" w:pos="1619"/>
              </w:tabs>
              <w:spacing w:before="60"/>
              <w:ind w:leftChars="100" w:left="210"/>
              <w:rPr>
                <w:rFonts w:eastAsia="Times New Roman"/>
                <w:u w:val="single"/>
                <w:lang w:eastAsia="ja-JP"/>
              </w:rPr>
            </w:pPr>
            <w:r>
              <w:rPr>
                <w:rFonts w:eastAsia="Times New Roman"/>
                <w:u w:val="single"/>
                <w:lang w:eastAsia="ja-JP"/>
              </w:rPr>
              <w:t>Options</w:t>
            </w:r>
          </w:p>
          <w:p w14:paraId="78962BDA" w14:textId="77777777" w:rsidR="00D05B97"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Rational number for DRX cycle periodicity</w:t>
            </w:r>
          </w:p>
          <w:p w14:paraId="341D4F7E" w14:textId="77777777" w:rsidR="00D05B97"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DRX cycle adjustments</w:t>
            </w:r>
          </w:p>
          <w:p w14:paraId="637F7401" w14:textId="77777777" w:rsidR="00D05B97" w:rsidRDefault="00000000">
            <w:pPr>
              <w:numPr>
                <w:ilvl w:val="255"/>
                <w:numId w:val="0"/>
              </w:numPr>
              <w:tabs>
                <w:tab w:val="left" w:pos="1619"/>
              </w:tabs>
              <w:spacing w:before="60"/>
              <w:ind w:leftChars="100" w:left="210"/>
              <w:rPr>
                <w:rFonts w:eastAsia="Times New Roman"/>
                <w:strike/>
                <w:lang w:eastAsia="ja-JP"/>
              </w:rPr>
            </w:pPr>
            <w:r>
              <w:rPr>
                <w:rFonts w:eastAsia="Times New Roman"/>
                <w:strike/>
                <w:lang w:eastAsia="ja-JP"/>
              </w:rPr>
              <w:t>?? Multiple active DRX configurations</w:t>
            </w:r>
          </w:p>
          <w:p w14:paraId="2B924566" w14:textId="77777777" w:rsidR="00D05B97" w:rsidRDefault="00000000">
            <w:pPr>
              <w:numPr>
                <w:ilvl w:val="0"/>
                <w:numId w:val="6"/>
              </w:numPr>
              <w:tabs>
                <w:tab w:val="clear" w:pos="9990"/>
                <w:tab w:val="left" w:pos="1619"/>
              </w:tabs>
              <w:spacing w:before="60"/>
              <w:ind w:leftChars="100" w:left="570"/>
              <w:rPr>
                <w:rFonts w:eastAsia="Times New Roman"/>
                <w:bCs/>
                <w:lang w:eastAsia="ja-JP"/>
              </w:rPr>
            </w:pPr>
            <w:r>
              <w:rPr>
                <w:rFonts w:eastAsia="Times New Roman"/>
                <w:bCs/>
                <w:lang w:eastAsia="ja-JP"/>
              </w:rPr>
              <w:t xml:space="preserve">RAN2 will not consider solution 3, </w:t>
            </w:r>
            <w:proofErr w:type="gramStart"/>
            <w:r>
              <w:rPr>
                <w:rFonts w:eastAsia="Times New Roman"/>
                <w:bCs/>
                <w:lang w:eastAsia="ja-JP"/>
              </w:rPr>
              <w:t>i.e.</w:t>
            </w:r>
            <w:proofErr w:type="gramEnd"/>
            <w:r>
              <w:rPr>
                <w:rFonts w:eastAsia="Times New Roman"/>
                <w:bCs/>
                <w:lang w:eastAsia="ja-JP"/>
              </w:rPr>
              <w:t xml:space="preserve"> multiple active DRX configurations as a solution to the non-integer periodicity for XR traffic, i.e. UE would have only one DRX configuration. </w:t>
            </w:r>
          </w:p>
          <w:p w14:paraId="257D1746" w14:textId="77777777" w:rsidR="00D05B97" w:rsidRDefault="00000000">
            <w:pPr>
              <w:numPr>
                <w:ilvl w:val="0"/>
                <w:numId w:val="6"/>
              </w:numPr>
              <w:tabs>
                <w:tab w:val="clear" w:pos="9990"/>
                <w:tab w:val="left" w:pos="1619"/>
              </w:tabs>
              <w:spacing w:before="60"/>
              <w:ind w:leftChars="100" w:left="570"/>
              <w:rPr>
                <w:rFonts w:eastAsia="Malgun Gothic"/>
                <w:lang w:val="en-US" w:eastAsia="zh-CN"/>
              </w:rPr>
            </w:pPr>
            <w:r>
              <w:rPr>
                <w:rFonts w:eastAsia="Times New Roman"/>
                <w:bCs/>
                <w:lang w:eastAsia="ja-JP"/>
              </w:rPr>
              <w:t>To address SFN wrap around, it is proposed to adopt option with a counter in DRX formula that increments at every SFN wrap around and an DRX reference SFN signalled by network. FFS if this is based on H-SFN, E-SFN or a generic counter.</w:t>
            </w:r>
          </w:p>
        </w:tc>
      </w:tr>
    </w:tbl>
    <w:p w14:paraId="583B5A71" w14:textId="77777777" w:rsidR="00D05B97" w:rsidRDefault="00000000">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D05B97" w14:paraId="666F55D2" w14:textId="77777777">
        <w:tc>
          <w:tcPr>
            <w:tcW w:w="9997" w:type="dxa"/>
          </w:tcPr>
          <w:p w14:paraId="7809799D" w14:textId="77777777" w:rsidR="00D05B97" w:rsidRDefault="00000000">
            <w:pPr>
              <w:numPr>
                <w:ilvl w:val="0"/>
                <w:numId w:val="6"/>
              </w:numPr>
              <w:tabs>
                <w:tab w:val="left" w:pos="1619"/>
              </w:tabs>
              <w:spacing w:before="60" w:after="75" w:line="315" w:lineRule="atLeast"/>
              <w:ind w:left="300"/>
              <w:rPr>
                <w:rFonts w:cs="Arial"/>
                <w:color w:val="000000"/>
              </w:rPr>
            </w:pPr>
            <w:r>
              <w:t>Define DRX cycle based on rational numbers. Inform RAN1/4 about this and ask them to indicate if this causes issues in their specifications.</w:t>
            </w:r>
          </w:p>
          <w:p w14:paraId="1E8B70B3" w14:textId="77777777" w:rsidR="00D05B97" w:rsidRDefault="00000000">
            <w:pPr>
              <w:numPr>
                <w:ilvl w:val="0"/>
                <w:numId w:val="6"/>
              </w:numPr>
              <w:tabs>
                <w:tab w:val="left" w:pos="1619"/>
              </w:tabs>
              <w:spacing w:before="60" w:after="75" w:line="315" w:lineRule="atLeast"/>
              <w:ind w:left="300"/>
              <w:rPr>
                <w:rFonts w:cs="Arial"/>
                <w:color w:val="000000"/>
              </w:rPr>
            </w:pPr>
            <w:r>
              <w:t>Not use broadcast signalling for counter and reference SFN in XR.</w:t>
            </w:r>
          </w:p>
        </w:tc>
      </w:tr>
    </w:tbl>
    <w:p w14:paraId="583C4E7A" w14:textId="77777777" w:rsidR="00D05B97" w:rsidRDefault="00000000">
      <w:pPr>
        <w:numPr>
          <w:ilvl w:val="255"/>
          <w:numId w:val="0"/>
        </w:numPr>
        <w:spacing w:before="75" w:after="75" w:line="315" w:lineRule="atLeast"/>
        <w:rPr>
          <w:rFonts w:cs="Arial"/>
          <w:color w:val="000000"/>
        </w:rPr>
      </w:pPr>
      <w:r>
        <w:rPr>
          <w:rFonts w:hint="eastAsia"/>
          <w:lang w:val="en-US" w:eastAsia="zh-CN"/>
        </w:rPr>
        <w:t>In the RAN2#123 meeting, the following agreements has been made:</w:t>
      </w:r>
    </w:p>
    <w:tbl>
      <w:tblPr>
        <w:tblStyle w:val="TableGrid"/>
        <w:tblW w:w="0" w:type="auto"/>
        <w:tblLook w:val="04A0" w:firstRow="1" w:lastRow="0" w:firstColumn="1" w:lastColumn="0" w:noHBand="0" w:noVBand="1"/>
      </w:tblPr>
      <w:tblGrid>
        <w:gridCol w:w="9771"/>
      </w:tblGrid>
      <w:tr w:rsidR="00D05B97" w14:paraId="61FF6552" w14:textId="77777777">
        <w:tc>
          <w:tcPr>
            <w:tcW w:w="9997" w:type="dxa"/>
          </w:tcPr>
          <w:p w14:paraId="1C9B7B75" w14:textId="77777777" w:rsidR="00D05B97" w:rsidRDefault="00000000">
            <w:pPr>
              <w:numPr>
                <w:ilvl w:val="0"/>
                <w:numId w:val="6"/>
              </w:numPr>
              <w:tabs>
                <w:tab w:val="left" w:pos="1619"/>
              </w:tabs>
              <w:spacing w:before="60" w:after="75" w:line="315" w:lineRule="atLeast"/>
              <w:ind w:left="300"/>
              <w:rPr>
                <w:rFonts w:cs="Arial"/>
                <w:color w:val="000000"/>
              </w:rPr>
            </w:pPr>
            <w:r>
              <w:rPr>
                <w:rFonts w:cs="Arial"/>
                <w:color w:val="000000"/>
              </w:rPr>
              <w:t xml:space="preserve">The maximum value of the counter (NSFN) is 2^16 – 1 = 65535. </w:t>
            </w:r>
          </w:p>
          <w:p w14:paraId="13DC08E1" w14:textId="77777777" w:rsidR="00D05B97" w:rsidRDefault="00000000">
            <w:pPr>
              <w:numPr>
                <w:ilvl w:val="0"/>
                <w:numId w:val="6"/>
              </w:numPr>
              <w:tabs>
                <w:tab w:val="left" w:pos="1619"/>
              </w:tabs>
              <w:spacing w:before="60" w:after="75" w:line="315" w:lineRule="atLeast"/>
              <w:ind w:left="300"/>
              <w:rPr>
                <w:rFonts w:cs="Arial"/>
                <w:color w:val="000000"/>
              </w:rPr>
            </w:pPr>
            <w:r>
              <w:rPr>
                <w:rFonts w:cs="Arial"/>
                <w:color w:val="000000"/>
              </w:rPr>
              <w:t>8. Network sets DRX reference SFN (drx-ReferenceSFN) to either 0 or 512, in the same way as in Rel-16 IIoT.</w:t>
            </w:r>
          </w:p>
          <w:p w14:paraId="7B4D5D40" w14:textId="77777777" w:rsidR="00D05B97" w:rsidRDefault="00000000">
            <w:pPr>
              <w:numPr>
                <w:ilvl w:val="0"/>
                <w:numId w:val="6"/>
              </w:numPr>
              <w:tabs>
                <w:tab w:val="left" w:pos="1619"/>
              </w:tabs>
              <w:spacing w:before="60" w:after="75" w:line="315" w:lineRule="atLeast"/>
              <w:ind w:left="300"/>
              <w:rPr>
                <w:rFonts w:cs="Arial"/>
                <w:color w:val="000000"/>
              </w:rPr>
            </w:pPr>
            <w:r>
              <w:rPr>
                <w:rFonts w:cs="Arial"/>
                <w:color w:val="000000"/>
              </w:rPr>
              <w:t xml:space="preserve">9. Use the following option (option A): both the counter NSFN and the DRX reference SFN drx-ReferenceSFN are added to the DRX formula. NSFN is initialized to 0. </w:t>
            </w:r>
          </w:p>
        </w:tc>
      </w:tr>
    </w:tbl>
    <w:p w14:paraId="1DDEEB69" w14:textId="77777777" w:rsidR="00D05B97" w:rsidRDefault="00000000">
      <w:pPr>
        <w:numPr>
          <w:ilvl w:val="255"/>
          <w:numId w:val="0"/>
        </w:numPr>
        <w:spacing w:before="75" w:after="75" w:line="315" w:lineRule="atLeast"/>
        <w:rPr>
          <w:rFonts w:cs="Arial"/>
          <w:color w:val="000000"/>
        </w:rPr>
      </w:pPr>
      <w:r>
        <w:rPr>
          <w:rFonts w:hint="eastAsia"/>
          <w:lang w:val="en-US" w:eastAsia="zh-CN"/>
        </w:rPr>
        <w:lastRenderedPageBreak/>
        <w:t>In the RAN2#123bis meeting, the following agreements has been made:</w:t>
      </w:r>
    </w:p>
    <w:tbl>
      <w:tblPr>
        <w:tblStyle w:val="TableGrid"/>
        <w:tblW w:w="0" w:type="auto"/>
        <w:tblLook w:val="04A0" w:firstRow="1" w:lastRow="0" w:firstColumn="1" w:lastColumn="0" w:noHBand="0" w:noVBand="1"/>
      </w:tblPr>
      <w:tblGrid>
        <w:gridCol w:w="9771"/>
      </w:tblGrid>
      <w:tr w:rsidR="00D05B97" w14:paraId="4CF2A63C" w14:textId="77777777">
        <w:tc>
          <w:tcPr>
            <w:tcW w:w="9997" w:type="dxa"/>
          </w:tcPr>
          <w:p w14:paraId="0BF9CED9" w14:textId="77777777" w:rsidR="00D05B97" w:rsidRDefault="00000000">
            <w:pPr>
              <w:rPr>
                <w:rFonts w:cs="Arial"/>
                <w:color w:val="000000"/>
              </w:rPr>
            </w:pPr>
            <w:r>
              <w:rPr>
                <w:rFonts w:cs="Arial" w:hint="eastAsia"/>
                <w:color w:val="000000"/>
              </w:rPr>
              <w:t xml:space="preserve">1.New DRX cycles in rational numbers are supported for both short and long DRX cycles. </w:t>
            </w:r>
          </w:p>
          <w:p w14:paraId="09811B0D" w14:textId="77777777" w:rsidR="00D05B97" w:rsidRDefault="00000000">
            <w:pPr>
              <w:rPr>
                <w:rFonts w:cs="Arial"/>
                <w:color w:val="000000"/>
              </w:rPr>
            </w:pPr>
            <w:r>
              <w:rPr>
                <w:rFonts w:cs="Arial" w:hint="eastAsia"/>
                <w:color w:val="000000"/>
              </w:rPr>
              <w:t>2.If short DRX cycle in rational number is configured, the length of the long DRX cycle shall be an integer multiple of the short DRX cycle, as in legacy.</w:t>
            </w:r>
            <w:r>
              <w:rPr>
                <w:rFonts w:cs="Arial" w:hint="eastAsia"/>
                <w:color w:val="000000"/>
              </w:rPr>
              <w:tab/>
            </w:r>
          </w:p>
          <w:p w14:paraId="38F76863" w14:textId="77777777" w:rsidR="00D05B97" w:rsidRDefault="00000000">
            <w:pPr>
              <w:rPr>
                <w:rFonts w:cs="Arial"/>
                <w:color w:val="000000"/>
              </w:rPr>
            </w:pPr>
            <w:r>
              <w:rPr>
                <w:rFonts w:cs="Arial" w:hint="eastAsia"/>
                <w:color w:val="000000"/>
              </w:rPr>
              <w:t>3.The new DRX parameter(s) for non-integer DRX cycles are common to both DRX groups</w:t>
            </w:r>
          </w:p>
          <w:p w14:paraId="066C6D51" w14:textId="77777777" w:rsidR="00D05B97" w:rsidRDefault="00000000">
            <w:pPr>
              <w:rPr>
                <w:rFonts w:cs="Arial"/>
                <w:color w:val="000000"/>
              </w:rPr>
            </w:pPr>
            <w:r>
              <w:rPr>
                <w:rFonts w:cs="Arial" w:hint="eastAsia"/>
                <w:color w:val="000000"/>
              </w:rPr>
              <w:t xml:space="preserve">4.At least use legacy formula and add floor () operation.  </w:t>
            </w:r>
          </w:p>
          <w:p w14:paraId="08AA7D9E" w14:textId="77777777" w:rsidR="00D05B97" w:rsidRDefault="00000000">
            <w:pPr>
              <w:rPr>
                <w:rFonts w:cs="Arial"/>
                <w:color w:val="000000"/>
              </w:rPr>
            </w:pPr>
            <w:r>
              <w:rPr>
                <w:rFonts w:cs="Arial" w:hint="eastAsia"/>
                <w:color w:val="000000"/>
              </w:rPr>
              <w:t>5.We will have normative text to avoid rounding errors.</w:t>
            </w:r>
          </w:p>
          <w:p w14:paraId="0FA1CAED" w14:textId="77777777" w:rsidR="00D05B97" w:rsidRDefault="00000000">
            <w:pPr>
              <w:rPr>
                <w:rFonts w:cs="Arial"/>
                <w:color w:val="000000"/>
              </w:rPr>
            </w:pPr>
            <w:r>
              <w:rPr>
                <w:rFonts w:cs="Arial" w:hint="eastAsia"/>
                <w:color w:val="000000"/>
              </w:rPr>
              <w:t>6.specify the DRX cycle by different fields under a CHOICE structure and specify in the field description the correspondence between different fields and DRX cycles</w:t>
            </w:r>
          </w:p>
        </w:tc>
      </w:tr>
    </w:tbl>
    <w:p w14:paraId="13E03839" w14:textId="77777777" w:rsidR="00D05B97" w:rsidRDefault="00000000">
      <w:pPr>
        <w:rPr>
          <w:rFonts w:cs="Arial"/>
          <w:color w:val="000000"/>
          <w:lang w:val="en-US" w:eastAsia="zh-CN"/>
        </w:rPr>
      </w:pPr>
      <w:r>
        <w:rPr>
          <w:rFonts w:cs="Arial" w:hint="eastAsia"/>
          <w:color w:val="000000"/>
          <w:lang w:val="en-US" w:eastAsia="zh-CN"/>
        </w:rPr>
        <w:t xml:space="preserve">In RAN1#114bis meeting, LS on Rel-18 higher-layers parameter </w:t>
      </w:r>
      <w:proofErr w:type="gramStart"/>
      <w:r>
        <w:rPr>
          <w:rFonts w:cs="Arial" w:hint="eastAsia"/>
          <w:color w:val="000000"/>
          <w:lang w:val="en-US" w:eastAsia="zh-CN"/>
        </w:rPr>
        <w:t>list[</w:t>
      </w:r>
      <w:proofErr w:type="gramEnd"/>
      <w:r>
        <w:rPr>
          <w:rFonts w:cs="Arial" w:hint="eastAsia"/>
          <w:color w:val="000000"/>
          <w:lang w:val="en-US" w:eastAsia="zh-CN"/>
        </w:rPr>
        <w:t>9] has been agreed.</w:t>
      </w:r>
    </w:p>
    <w:p w14:paraId="046F05BE" w14:textId="2DE0D4F6" w:rsidR="00D05B97"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hint="eastAsia"/>
          <w:color w:val="000000"/>
          <w:lang w:val="en-US" w:eastAsia="zh-CN"/>
        </w:rPr>
        <w:t xml:space="preserve">further discuss some UE power </w:t>
      </w:r>
      <w:r w:rsidR="009F079C">
        <w:rPr>
          <w:rFonts w:cs="Arial"/>
          <w:color w:val="000000"/>
          <w:lang w:val="en-US" w:eastAsia="zh-CN"/>
        </w:rPr>
        <w:t xml:space="preserve">saving related </w:t>
      </w:r>
      <w:r>
        <w:rPr>
          <w:rFonts w:cs="Arial" w:hint="eastAsia"/>
          <w:color w:val="000000"/>
          <w:lang w:val="en-US" w:eastAsia="zh-CN"/>
        </w:rPr>
        <w:t>issues</w:t>
      </w:r>
      <w:r>
        <w:rPr>
          <w:rFonts w:hint="eastAsia"/>
          <w:lang w:val="en-US" w:eastAsia="zh-CN"/>
        </w:rPr>
        <w:t xml:space="preserve">, </w:t>
      </w:r>
      <w:r>
        <w:rPr>
          <w:rFonts w:cs="Arial" w:hint="eastAsia"/>
          <w:color w:val="000000"/>
          <w:lang w:val="en-US" w:eastAsia="zh-CN"/>
        </w:rPr>
        <w:t>and give our proposals.</w:t>
      </w:r>
    </w:p>
    <w:p w14:paraId="323C0212" w14:textId="77777777" w:rsidR="00D05B9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7C82D243" w14:textId="77777777" w:rsidR="00D05B97"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41C944F5" w14:textId="77777777" w:rsidR="00D05B97"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61674524" w14:textId="4DA50B5A" w:rsidR="00D05B97" w:rsidRDefault="00000000">
      <w:pPr>
        <w:numPr>
          <w:ilvl w:val="255"/>
          <w:numId w:val="0"/>
        </w:numPr>
        <w:rPr>
          <w:b/>
          <w:bCs/>
          <w:lang w:val="en-US" w:eastAsia="zh-CN"/>
        </w:rPr>
      </w:pPr>
      <w:r>
        <w:rPr>
          <w:b/>
          <w:bCs/>
          <w:lang w:val="en-US" w:eastAsia="zh-CN"/>
        </w:rPr>
        <w:t xml:space="preserve">Proposal </w:t>
      </w:r>
      <w:r>
        <w:rPr>
          <w:rFonts w:hint="eastAsia"/>
          <w:b/>
          <w:bCs/>
          <w:lang w:val="en-US" w:eastAsia="zh-CN"/>
        </w:rPr>
        <w:t>1</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51D4639F" w14:textId="77777777" w:rsidR="00D05B97" w:rsidRDefault="00000000">
      <w:pPr>
        <w:rPr>
          <w:u w:val="single"/>
        </w:rPr>
      </w:pPr>
      <w:r>
        <w:rPr>
          <w:u w:val="single"/>
        </w:rPr>
        <w:t>Extension of DRX on duration</w:t>
      </w:r>
    </w:p>
    <w:p w14:paraId="5BFEBA07" w14:textId="77777777" w:rsidR="00D05B97" w:rsidRDefault="00000000">
      <w:r>
        <w:t xml:space="preserve">In case of periodic XR traffic, jitter can cause both early arrival and delayed arrival of DL data. However, early arrival of packets in general does not have an adverse impact on overall latency budget for XR traffic (i.e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w:t>
      </w:r>
      <w:r>
        <w:lastRenderedPageBreak/>
        <w:t xml:space="preserve">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signalling, and whether to extend the duration can be decided by gNB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563394A1" w14:textId="77777777" w:rsidR="00D05B97" w:rsidRDefault="00000000">
      <w:pPr>
        <w:keepNext/>
        <w:jc w:val="center"/>
      </w:pPr>
      <w:r>
        <w:rPr>
          <w:noProof/>
        </w:rPr>
        <w:drawing>
          <wp:inline distT="0" distB="0" distL="0" distR="0" wp14:anchorId="0D1E5584" wp14:editId="5FC35589">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13D9C885" w14:textId="77777777" w:rsidR="00D05B97"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1</w:t>
      </w:r>
      <w:r>
        <w:t>: Dynamic extension of ON Duration to cater for delayed packet arrival due to jitter</w:t>
      </w:r>
      <w:bookmarkEnd w:id="7"/>
    </w:p>
    <w:p w14:paraId="24EE5C9A" w14:textId="77777777" w:rsidR="00D05B97" w:rsidRDefault="00000000">
      <w:r>
        <w:t xml:space="preserve">Based on the above, the following proposal is made. </w:t>
      </w:r>
    </w:p>
    <w:p w14:paraId="676341F4" w14:textId="4FB15FA6" w:rsidR="00D05B97" w:rsidRDefault="00000000">
      <w:pPr>
        <w:rPr>
          <w:b/>
          <w:bCs/>
        </w:rPr>
      </w:pPr>
      <w:r>
        <w:rPr>
          <w:b/>
          <w:bCs/>
        </w:rPr>
        <w:t xml:space="preserve">Proposal </w:t>
      </w:r>
      <w:r>
        <w:rPr>
          <w:rFonts w:hint="eastAsia"/>
          <w:b/>
          <w:bCs/>
          <w:lang w:val="en-US" w:eastAsia="zh-CN"/>
        </w:rPr>
        <w:t>2</w:t>
      </w:r>
      <w:r>
        <w:rPr>
          <w:b/>
          <w:bCs/>
        </w:rPr>
        <w:t>: No specific solution is needed to solve the issue of early arrival of DL packet due to jitter</w:t>
      </w:r>
    </w:p>
    <w:p w14:paraId="65E62ED1" w14:textId="62AF48FB" w:rsidR="00D05B97" w:rsidRDefault="00000000">
      <w:pPr>
        <w:rPr>
          <w:b/>
          <w:bCs/>
          <w:lang w:val="en-US" w:eastAsia="zh-CN"/>
        </w:rPr>
      </w:pPr>
      <w:r>
        <w:rPr>
          <w:b/>
          <w:bCs/>
        </w:rPr>
        <w:t xml:space="preserve">Proposal </w:t>
      </w:r>
      <w:r>
        <w:rPr>
          <w:rFonts w:hint="eastAsia"/>
          <w:b/>
          <w:bCs/>
          <w:lang w:val="en-US" w:eastAsia="zh-CN"/>
        </w:rPr>
        <w:t>3</w:t>
      </w:r>
      <w:r>
        <w:rPr>
          <w:b/>
          <w:bCs/>
        </w:rPr>
        <w:t xml:space="preserve">: </w:t>
      </w:r>
      <w:r>
        <w:rPr>
          <w:b/>
          <w:bCs/>
          <w:lang w:val="en-US"/>
        </w:rPr>
        <w:t>For the d</w:t>
      </w:r>
      <w:r>
        <w:rPr>
          <w:b/>
          <w:bCs/>
        </w:rPr>
        <w:t xml:space="preserve">ynamic extension of DRX ON </w:t>
      </w:r>
      <w:proofErr w:type="gramStart"/>
      <w:r>
        <w:rPr>
          <w:b/>
          <w:bCs/>
        </w:rPr>
        <w:t>duration</w:t>
      </w:r>
      <w:r>
        <w:rPr>
          <w:b/>
          <w:bCs/>
          <w:lang w:val="en-US"/>
        </w:rPr>
        <w:t>(</w:t>
      </w:r>
      <w:proofErr w:type="gramEnd"/>
      <w:r>
        <w:rPr>
          <w:b/>
          <w:bCs/>
          <w:lang w:val="en-US"/>
        </w:rPr>
        <w:t xml:space="preserve">e.g. switching of configurations of DRX): an extended </w:t>
      </w:r>
      <w:r>
        <w:rPr>
          <w:b/>
          <w:bCs/>
        </w:rPr>
        <w:t>duration</w:t>
      </w:r>
      <w:r>
        <w:rPr>
          <w:b/>
          <w:bCs/>
          <w:lang w:val="en-US"/>
        </w:rPr>
        <w:t xml:space="preserve"> value is configured by RRC signalling, and the on duration is extended automatically </w:t>
      </w:r>
      <w:r>
        <w:rPr>
          <w:b/>
          <w:bCs/>
        </w:rPr>
        <w:t>when there is no DL transmission during the expected DRX ON duration</w:t>
      </w:r>
      <w:r>
        <w:rPr>
          <w:b/>
          <w:bCs/>
          <w:lang w:val="en-US" w:eastAsia="zh-CN"/>
        </w:rPr>
        <w:t>.</w:t>
      </w:r>
    </w:p>
    <w:p w14:paraId="4A9EE776" w14:textId="18774476" w:rsidR="00D05B97" w:rsidRDefault="00000000">
      <w:pPr>
        <w:rPr>
          <w:lang w:val="en-US" w:eastAsia="zh-CN"/>
        </w:rPr>
      </w:pPr>
      <w:r>
        <w:rPr>
          <w:rFonts w:hint="eastAsia"/>
          <w:lang w:val="en-US" w:eastAsia="zh-CN"/>
        </w:rPr>
        <w:t>Since RAN1 has agreed to support UE PDCCH monitoring resumption after PDCCH skipping has started, if the UE transmits a NACK.</w:t>
      </w:r>
      <w:r w:rsidR="009F079C">
        <w:rPr>
          <w:lang w:val="en-US" w:eastAsia="zh-CN"/>
        </w:rPr>
        <w:t xml:space="preserve"> </w:t>
      </w:r>
      <w:r>
        <w:rPr>
          <w:rFonts w:hint="eastAsia"/>
          <w:lang w:val="en-US" w:eastAsia="zh-CN"/>
        </w:rPr>
        <w:t xml:space="preserve">This involves DL configuration to activate the UE PDCCH monitoring </w:t>
      </w:r>
      <w:proofErr w:type="gramStart"/>
      <w:r>
        <w:rPr>
          <w:rFonts w:hint="eastAsia"/>
          <w:lang w:val="en-US" w:eastAsia="zh-CN"/>
        </w:rPr>
        <w:t>resumption[</w:t>
      </w:r>
      <w:proofErr w:type="gramEnd"/>
      <w:r>
        <w:rPr>
          <w:rFonts w:hint="eastAsia"/>
          <w:lang w:val="en-US" w:eastAsia="zh-CN"/>
        </w:rPr>
        <w:t xml:space="preserve">2], RAN2 should confirm the RAN1 agreement and introduce related DL configuration(e.g. </w:t>
      </w:r>
      <w:r>
        <w:rPr>
          <w:rFonts w:hint="eastAsia"/>
          <w:i/>
          <w:iCs/>
          <w:lang w:val="en-US" w:eastAsia="zh-CN"/>
        </w:rPr>
        <w:t xml:space="preserve">PdcchMornitoringResumptionAfterNack </w:t>
      </w:r>
      <w:r>
        <w:rPr>
          <w:rFonts w:hint="eastAsia"/>
          <w:lang w:val="en-US" w:eastAsia="zh-CN"/>
        </w:rPr>
        <w:t>in PDCCH-Config) .</w:t>
      </w:r>
    </w:p>
    <w:p w14:paraId="4D22640C" w14:textId="7B6FD681" w:rsidR="00D05B97" w:rsidRDefault="00000000">
      <w:pPr>
        <w:rPr>
          <w:b/>
          <w:bCs/>
          <w:lang w:val="en-US" w:eastAsia="zh-CN"/>
        </w:rPr>
      </w:pPr>
      <w:r>
        <w:rPr>
          <w:rFonts w:hint="eastAsia"/>
          <w:b/>
          <w:bCs/>
          <w:lang w:val="en-US" w:eastAsia="zh-CN"/>
        </w:rPr>
        <w:t>Proposal 4: RAN2 confirms the RAN1 agreement to support PDCCH monitoring resumption, and introduce related DL configuration</w:t>
      </w:r>
      <w:r w:rsidR="00CD49FC">
        <w:rPr>
          <w:b/>
          <w:bCs/>
          <w:lang w:val="en-US" w:eastAsia="zh-CN"/>
        </w:rPr>
        <w:t xml:space="preserve"> </w:t>
      </w:r>
      <w:r>
        <w:rPr>
          <w:rFonts w:hint="eastAsia"/>
          <w:b/>
          <w:bCs/>
          <w:lang w:val="en-US" w:eastAsia="zh-CN"/>
        </w:rPr>
        <w:t>(</w:t>
      </w:r>
      <w:proofErr w:type="gramStart"/>
      <w:r>
        <w:rPr>
          <w:rFonts w:hint="eastAsia"/>
          <w:b/>
          <w:bCs/>
          <w:lang w:val="en-US" w:eastAsia="zh-CN"/>
        </w:rPr>
        <w:t>e.g.</w:t>
      </w:r>
      <w:proofErr w:type="gramEnd"/>
      <w:r>
        <w:rPr>
          <w:rFonts w:hint="eastAsia"/>
          <w:b/>
          <w:bCs/>
          <w:lang w:val="en-US" w:eastAsia="zh-CN"/>
        </w:rPr>
        <w:t xml:space="preserve"> </w:t>
      </w:r>
      <w:r>
        <w:rPr>
          <w:rFonts w:hint="eastAsia"/>
          <w:b/>
          <w:bCs/>
          <w:i/>
          <w:iCs/>
          <w:lang w:val="en-US" w:eastAsia="zh-CN"/>
        </w:rPr>
        <w:t xml:space="preserve">PdcchMornitoringResumptionAfterNack </w:t>
      </w:r>
      <w:r>
        <w:rPr>
          <w:rFonts w:hint="eastAsia"/>
          <w:b/>
          <w:bCs/>
          <w:lang w:val="en-US" w:eastAsia="zh-CN"/>
        </w:rPr>
        <w:t>in PDCCH-Config).</w:t>
      </w:r>
    </w:p>
    <w:p w14:paraId="2ADC93D7" w14:textId="77777777" w:rsidR="00D05B9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ADF369C" w14:textId="7AFB1E0F" w:rsidR="00D05B97" w:rsidRDefault="00000000">
      <w:pPr>
        <w:rPr>
          <w:b/>
          <w:bCs/>
          <w:lang w:val="en-US" w:eastAsia="zh-CN"/>
        </w:rPr>
      </w:pPr>
      <w:bookmarkStart w:id="8" w:name="_Toc18403976"/>
      <w:bookmarkStart w:id="9" w:name="_Toc18404543"/>
      <w:bookmarkStart w:id="10" w:name="_Toc18413612"/>
      <w:r>
        <w:rPr>
          <w:b/>
          <w:bCs/>
          <w:lang w:val="en-US" w:eastAsia="zh-CN"/>
        </w:rPr>
        <w:t xml:space="preserve">Proposal </w:t>
      </w:r>
      <w:r>
        <w:rPr>
          <w:rFonts w:hint="eastAsia"/>
          <w:b/>
          <w:bCs/>
          <w:lang w:val="en-US" w:eastAsia="zh-CN"/>
        </w:rPr>
        <w:t>1</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sidR="00CD49FC" w:rsidRPr="00CD49FC">
        <w:rPr>
          <w:b/>
          <w:bCs/>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503ED583" w14:textId="0C004D37" w:rsidR="00D05B97" w:rsidRDefault="00000000">
      <w:pPr>
        <w:rPr>
          <w:b/>
          <w:bCs/>
        </w:rPr>
      </w:pPr>
      <w:r>
        <w:rPr>
          <w:b/>
          <w:bCs/>
        </w:rPr>
        <w:t xml:space="preserve">Proposal </w:t>
      </w:r>
      <w:r>
        <w:rPr>
          <w:rFonts w:hint="eastAsia"/>
          <w:b/>
          <w:bCs/>
          <w:lang w:val="en-US" w:eastAsia="zh-CN"/>
        </w:rPr>
        <w:t>2</w:t>
      </w:r>
      <w:r>
        <w:rPr>
          <w:b/>
          <w:bCs/>
        </w:rPr>
        <w:t xml:space="preserve">: No specific solution is needed to solve the issue of early arrival of DL packet due to jitter </w:t>
      </w:r>
    </w:p>
    <w:p w14:paraId="1591F070" w14:textId="029EE42B" w:rsidR="00D05B97" w:rsidRDefault="00000000">
      <w:pPr>
        <w:rPr>
          <w:b/>
          <w:bCs/>
          <w:lang w:val="en-US" w:eastAsia="zh-CN"/>
        </w:rPr>
      </w:pPr>
      <w:r>
        <w:rPr>
          <w:b/>
          <w:bCs/>
        </w:rPr>
        <w:lastRenderedPageBreak/>
        <w:t xml:space="preserve">Proposal </w:t>
      </w:r>
      <w:r>
        <w:rPr>
          <w:rFonts w:hint="eastAsia"/>
          <w:b/>
          <w:bCs/>
          <w:lang w:val="en-US" w:eastAsia="zh-CN"/>
        </w:rPr>
        <w:t>3</w:t>
      </w:r>
      <w:r>
        <w:rPr>
          <w:b/>
          <w:bCs/>
        </w:rPr>
        <w:t xml:space="preserve">: </w:t>
      </w:r>
      <w:r>
        <w:rPr>
          <w:b/>
          <w:bCs/>
          <w:lang w:val="en-US"/>
        </w:rPr>
        <w:t>For the d</w:t>
      </w:r>
      <w:r>
        <w:rPr>
          <w:b/>
          <w:bCs/>
        </w:rPr>
        <w:t xml:space="preserve">ynamic extension of DRX ON duration </w:t>
      </w:r>
      <w:r>
        <w:rPr>
          <w:b/>
          <w:bCs/>
          <w:lang w:val="en-US"/>
        </w:rPr>
        <w:t>(</w:t>
      </w:r>
      <w:proofErr w:type="gramStart"/>
      <w:r>
        <w:rPr>
          <w:b/>
          <w:bCs/>
          <w:lang w:val="en-US"/>
        </w:rPr>
        <w:t>e.g.</w:t>
      </w:r>
      <w:proofErr w:type="gramEnd"/>
      <w:r>
        <w:rPr>
          <w:b/>
          <w:bCs/>
          <w:lang w:val="en-US"/>
        </w:rPr>
        <w:t xml:space="preserve"> switching of configurations of DRX): an extended </w:t>
      </w:r>
      <w:r>
        <w:rPr>
          <w:b/>
          <w:bCs/>
        </w:rPr>
        <w:t>duration</w:t>
      </w:r>
      <w:r>
        <w:rPr>
          <w:b/>
          <w:bCs/>
          <w:lang w:val="en-US"/>
        </w:rPr>
        <w:t xml:space="preserve"> value is configured by RRC signalling, and the on duration is extended automatically </w:t>
      </w:r>
      <w:r>
        <w:rPr>
          <w:b/>
          <w:bCs/>
        </w:rPr>
        <w:t>when there is no DL transmission during the expected DRX ON duration</w:t>
      </w:r>
      <w:r>
        <w:rPr>
          <w:b/>
          <w:bCs/>
          <w:lang w:val="en-US" w:eastAsia="zh-CN"/>
        </w:rPr>
        <w:t>.</w:t>
      </w:r>
    </w:p>
    <w:p w14:paraId="1AC1B71B" w14:textId="092C4B7D" w:rsidR="00D05B97" w:rsidRDefault="00000000">
      <w:pPr>
        <w:rPr>
          <w:b/>
          <w:bCs/>
          <w:lang w:val="en-US" w:eastAsia="zh-CN"/>
        </w:rPr>
      </w:pPr>
      <w:r>
        <w:rPr>
          <w:rFonts w:hint="eastAsia"/>
          <w:b/>
          <w:bCs/>
          <w:lang w:val="en-US" w:eastAsia="zh-CN"/>
        </w:rPr>
        <w:t>Proposal 4: RAN2 confirms the RAN1 agreement to support PDCCH monitoring resumption, and introduce related DL configuration</w:t>
      </w:r>
      <w:r w:rsidR="00CD49FC">
        <w:rPr>
          <w:b/>
          <w:bCs/>
          <w:lang w:val="en-US" w:eastAsia="zh-CN"/>
        </w:rPr>
        <w:t xml:space="preserve"> </w:t>
      </w:r>
      <w:r>
        <w:rPr>
          <w:rFonts w:hint="eastAsia"/>
          <w:b/>
          <w:bCs/>
          <w:lang w:val="en-US" w:eastAsia="zh-CN"/>
        </w:rPr>
        <w:t>(</w:t>
      </w:r>
      <w:proofErr w:type="gramStart"/>
      <w:r>
        <w:rPr>
          <w:rFonts w:hint="eastAsia"/>
          <w:b/>
          <w:bCs/>
          <w:lang w:val="en-US" w:eastAsia="zh-CN"/>
        </w:rPr>
        <w:t>e.g.</w:t>
      </w:r>
      <w:proofErr w:type="gramEnd"/>
      <w:r>
        <w:rPr>
          <w:rFonts w:hint="eastAsia"/>
          <w:b/>
          <w:bCs/>
          <w:lang w:val="en-US" w:eastAsia="zh-CN"/>
        </w:rPr>
        <w:t xml:space="preserve"> </w:t>
      </w:r>
      <w:r>
        <w:rPr>
          <w:rFonts w:hint="eastAsia"/>
          <w:b/>
          <w:bCs/>
          <w:i/>
          <w:iCs/>
          <w:lang w:val="en-US" w:eastAsia="zh-CN"/>
        </w:rPr>
        <w:t xml:space="preserve">PdcchMornitoringResumptionAfterNack </w:t>
      </w:r>
      <w:r>
        <w:rPr>
          <w:rFonts w:hint="eastAsia"/>
          <w:b/>
          <w:bCs/>
          <w:lang w:val="en-US" w:eastAsia="zh-CN"/>
        </w:rPr>
        <w:t>in PDCCH-Config).</w:t>
      </w:r>
    </w:p>
    <w:p w14:paraId="7D7E1FE2" w14:textId="77777777" w:rsidR="00D05B9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6A9A2606" w14:textId="77777777" w:rsidR="00D05B9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36B19703"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55FB17F8"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1CD362AF"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747D8207"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Draft_R2_122_meeting_report_v2</w:t>
      </w:r>
    </w:p>
    <w:p w14:paraId="0DF23810"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Draft_R2_123_meeting_report_v1</w:t>
      </w:r>
    </w:p>
    <w:p w14:paraId="205D787C"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R2_123bis_ChairNotes_23-10-13_13-00_final</w:t>
      </w:r>
    </w:p>
    <w:p w14:paraId="3CE3E924" w14:textId="77777777" w:rsidR="00D05B97"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R1-2310694</w:t>
      </w:r>
      <w:r>
        <w:rPr>
          <w:rFonts w:eastAsia="SimSun" w:cs="Arial" w:hint="eastAsia"/>
          <w:color w:val="000000"/>
          <w:sz w:val="21"/>
          <w:lang w:val="en-US" w:eastAsia="zh-CN"/>
        </w:rPr>
        <w:t xml:space="preserve"> </w:t>
      </w:r>
      <w:r>
        <w:rPr>
          <w:rFonts w:cs="Arial" w:hint="eastAsia"/>
          <w:color w:val="000000"/>
          <w:sz w:val="21"/>
          <w:lang w:val="en-US"/>
        </w:rPr>
        <w:t>LS on Rel-18 higher-layers parameter list</w:t>
      </w:r>
    </w:p>
    <w:p w14:paraId="0E73D77B" w14:textId="77777777" w:rsidR="00D05B97" w:rsidRDefault="00D05B97">
      <w:pPr>
        <w:pStyle w:val="NormalWeb"/>
        <w:spacing w:before="75" w:beforeAutospacing="0" w:after="75" w:afterAutospacing="0" w:line="315" w:lineRule="atLeast"/>
        <w:rPr>
          <w:rFonts w:cs="Arial"/>
          <w:color w:val="000000"/>
          <w:sz w:val="21"/>
        </w:rPr>
      </w:pPr>
    </w:p>
    <w:sectPr w:rsidR="00D05B9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A2D0" w14:textId="77777777" w:rsidR="00B91AB6" w:rsidRDefault="00B91AB6">
      <w:pPr>
        <w:spacing w:line="240" w:lineRule="auto"/>
      </w:pPr>
      <w:r>
        <w:separator/>
      </w:r>
    </w:p>
  </w:endnote>
  <w:endnote w:type="continuationSeparator" w:id="0">
    <w:p w14:paraId="7ABFC7C4" w14:textId="77777777" w:rsidR="00B91AB6" w:rsidRDefault="00B91A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0E9ED" w14:textId="77777777" w:rsidR="00D05B9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BB15AB" w14:textId="77777777" w:rsidR="00D05B97" w:rsidRDefault="00D05B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73FB" w14:textId="77777777" w:rsidR="00D05B97" w:rsidRDefault="00D05B9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A8E03" w14:textId="77777777" w:rsidR="00BA4F86" w:rsidRDefault="00BA4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E49D" w14:textId="77777777" w:rsidR="00B91AB6" w:rsidRDefault="00B91AB6">
      <w:pPr>
        <w:spacing w:after="0"/>
      </w:pPr>
      <w:r>
        <w:separator/>
      </w:r>
    </w:p>
  </w:footnote>
  <w:footnote w:type="continuationSeparator" w:id="0">
    <w:p w14:paraId="27E9492D" w14:textId="77777777" w:rsidR="00B91AB6" w:rsidRDefault="00B91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B4D8" w14:textId="77777777" w:rsidR="00BA4F86" w:rsidRDefault="00BA4F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C333" w14:textId="77777777" w:rsidR="00D05B97" w:rsidRDefault="00D05B9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C965" w14:textId="77777777" w:rsidR="00BA4F86" w:rsidRDefault="00BA4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EE9EBD"/>
    <w:multiLevelType w:val="singleLevel"/>
    <w:tmpl w:val="EEEE9EBD"/>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C61BB9"/>
    <w:multiLevelType w:val="multilevel"/>
    <w:tmpl w:val="53C61BB9"/>
    <w:lvl w:ilvl="0">
      <w:start w:val="1"/>
      <w:numFmt w:val="decimal"/>
      <w:lvlText w:val="%1&gt;"/>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41532068">
    <w:abstractNumId w:val="1"/>
  </w:num>
  <w:num w:numId="2" w16cid:durableId="1909605380">
    <w:abstractNumId w:val="5"/>
  </w:num>
  <w:num w:numId="3" w16cid:durableId="445660264">
    <w:abstractNumId w:val="3"/>
  </w:num>
  <w:num w:numId="4" w16cid:durableId="161823621">
    <w:abstractNumId w:val="4"/>
  </w:num>
  <w:num w:numId="5" w16cid:durableId="1060784073">
    <w:abstractNumId w:val="2"/>
  </w:num>
  <w:num w:numId="6" w16cid:durableId="1355502853">
    <w:abstractNumId w:val="8"/>
  </w:num>
  <w:num w:numId="7" w16cid:durableId="587227960">
    <w:abstractNumId w:val="6"/>
  </w:num>
  <w:num w:numId="8" w16cid:durableId="396512119">
    <w:abstractNumId w:val="0"/>
  </w:num>
  <w:num w:numId="9" w16cid:durableId="1897470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696"/>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595E"/>
    <w:rsid w:val="00055D8E"/>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22CD"/>
    <w:rsid w:val="001A384E"/>
    <w:rsid w:val="001A4015"/>
    <w:rsid w:val="001A41E0"/>
    <w:rsid w:val="001A4B68"/>
    <w:rsid w:val="001A67CA"/>
    <w:rsid w:val="001A6AFD"/>
    <w:rsid w:val="001B0336"/>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B32"/>
    <w:rsid w:val="00254410"/>
    <w:rsid w:val="0025526F"/>
    <w:rsid w:val="00255974"/>
    <w:rsid w:val="00255E19"/>
    <w:rsid w:val="00256C2E"/>
    <w:rsid w:val="00257233"/>
    <w:rsid w:val="002578B4"/>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A1A"/>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6BB4"/>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989"/>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3F84"/>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6B19"/>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27C80"/>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2D0A"/>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409"/>
    <w:rsid w:val="007759F4"/>
    <w:rsid w:val="00776AD0"/>
    <w:rsid w:val="00780715"/>
    <w:rsid w:val="00780871"/>
    <w:rsid w:val="0078113B"/>
    <w:rsid w:val="00786B5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5A1B"/>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5A8A"/>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67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269C"/>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6FDE"/>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79C"/>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52A"/>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CB4"/>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1AB6"/>
    <w:rsid w:val="00B928EE"/>
    <w:rsid w:val="00B92AD5"/>
    <w:rsid w:val="00B94BA4"/>
    <w:rsid w:val="00B95671"/>
    <w:rsid w:val="00B96D07"/>
    <w:rsid w:val="00B97DB5"/>
    <w:rsid w:val="00B97F8A"/>
    <w:rsid w:val="00BA4BC4"/>
    <w:rsid w:val="00BA4F86"/>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08A6"/>
    <w:rsid w:val="00BE28BE"/>
    <w:rsid w:val="00BE2902"/>
    <w:rsid w:val="00BE42CB"/>
    <w:rsid w:val="00BE6162"/>
    <w:rsid w:val="00BE6C9C"/>
    <w:rsid w:val="00BE6FE3"/>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095A"/>
    <w:rsid w:val="00C82D97"/>
    <w:rsid w:val="00C84BD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0A6F"/>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49FC"/>
    <w:rsid w:val="00CE0D3E"/>
    <w:rsid w:val="00CE2D1F"/>
    <w:rsid w:val="00CE316E"/>
    <w:rsid w:val="00CE3462"/>
    <w:rsid w:val="00CE4FCD"/>
    <w:rsid w:val="00CE52F0"/>
    <w:rsid w:val="00CE5686"/>
    <w:rsid w:val="00CE7389"/>
    <w:rsid w:val="00CF121A"/>
    <w:rsid w:val="00CF18A3"/>
    <w:rsid w:val="00CF1AD6"/>
    <w:rsid w:val="00CF2473"/>
    <w:rsid w:val="00CF356A"/>
    <w:rsid w:val="00CF3A79"/>
    <w:rsid w:val="00CF3DD4"/>
    <w:rsid w:val="00CF4A61"/>
    <w:rsid w:val="00CF4B9A"/>
    <w:rsid w:val="00CF7088"/>
    <w:rsid w:val="00D0108B"/>
    <w:rsid w:val="00D014AD"/>
    <w:rsid w:val="00D029CB"/>
    <w:rsid w:val="00D04274"/>
    <w:rsid w:val="00D05A8B"/>
    <w:rsid w:val="00D05B97"/>
    <w:rsid w:val="00D0622A"/>
    <w:rsid w:val="00D06659"/>
    <w:rsid w:val="00D0699D"/>
    <w:rsid w:val="00D10B09"/>
    <w:rsid w:val="00D1447E"/>
    <w:rsid w:val="00D15A58"/>
    <w:rsid w:val="00D164B7"/>
    <w:rsid w:val="00D1747A"/>
    <w:rsid w:val="00D205D0"/>
    <w:rsid w:val="00D21306"/>
    <w:rsid w:val="00D2151A"/>
    <w:rsid w:val="00D22151"/>
    <w:rsid w:val="00D240AB"/>
    <w:rsid w:val="00D2429D"/>
    <w:rsid w:val="00D24B12"/>
    <w:rsid w:val="00D25CA2"/>
    <w:rsid w:val="00D26BCB"/>
    <w:rsid w:val="00D26C04"/>
    <w:rsid w:val="00D26CC6"/>
    <w:rsid w:val="00D275C6"/>
    <w:rsid w:val="00D27639"/>
    <w:rsid w:val="00D311EF"/>
    <w:rsid w:val="00D32D42"/>
    <w:rsid w:val="00D3390C"/>
    <w:rsid w:val="00D369E4"/>
    <w:rsid w:val="00D36C71"/>
    <w:rsid w:val="00D37967"/>
    <w:rsid w:val="00D40723"/>
    <w:rsid w:val="00D41A51"/>
    <w:rsid w:val="00D42DFD"/>
    <w:rsid w:val="00D437BF"/>
    <w:rsid w:val="00D4448D"/>
    <w:rsid w:val="00D45E14"/>
    <w:rsid w:val="00D4755C"/>
    <w:rsid w:val="00D52834"/>
    <w:rsid w:val="00D544FE"/>
    <w:rsid w:val="00D5596F"/>
    <w:rsid w:val="00D55C96"/>
    <w:rsid w:val="00D56F3F"/>
    <w:rsid w:val="00D61F13"/>
    <w:rsid w:val="00D66434"/>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6C5B"/>
    <w:rsid w:val="00E27FC2"/>
    <w:rsid w:val="00E30B6B"/>
    <w:rsid w:val="00E316FF"/>
    <w:rsid w:val="00E31912"/>
    <w:rsid w:val="00E31B60"/>
    <w:rsid w:val="00E32C8F"/>
    <w:rsid w:val="00E34D88"/>
    <w:rsid w:val="00E353DB"/>
    <w:rsid w:val="00E35415"/>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5F09"/>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1D8F"/>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1D33"/>
    <w:rsid w:val="00F42974"/>
    <w:rsid w:val="00F4307A"/>
    <w:rsid w:val="00F43D26"/>
    <w:rsid w:val="00F46039"/>
    <w:rsid w:val="00F46B8B"/>
    <w:rsid w:val="00F47660"/>
    <w:rsid w:val="00F507DB"/>
    <w:rsid w:val="00F5236F"/>
    <w:rsid w:val="00F52C7A"/>
    <w:rsid w:val="00F52E22"/>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CAF"/>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291F"/>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D80DEF"/>
    <w:rsid w:val="066F03DC"/>
    <w:rsid w:val="07D42D57"/>
    <w:rsid w:val="087D49D7"/>
    <w:rsid w:val="098B1EF5"/>
    <w:rsid w:val="09F00BD8"/>
    <w:rsid w:val="0A4D7372"/>
    <w:rsid w:val="0A7F6A28"/>
    <w:rsid w:val="0B2C0FB7"/>
    <w:rsid w:val="0C457953"/>
    <w:rsid w:val="0C955649"/>
    <w:rsid w:val="0CBA1583"/>
    <w:rsid w:val="0D0B1752"/>
    <w:rsid w:val="0D47430F"/>
    <w:rsid w:val="0D7D570C"/>
    <w:rsid w:val="0E630E58"/>
    <w:rsid w:val="0E6F0740"/>
    <w:rsid w:val="0EF13925"/>
    <w:rsid w:val="0F321E2D"/>
    <w:rsid w:val="0F586698"/>
    <w:rsid w:val="10DF3115"/>
    <w:rsid w:val="11EA4477"/>
    <w:rsid w:val="12626D0E"/>
    <w:rsid w:val="12FC7F58"/>
    <w:rsid w:val="131C76E1"/>
    <w:rsid w:val="138B2C69"/>
    <w:rsid w:val="1501485D"/>
    <w:rsid w:val="1523776D"/>
    <w:rsid w:val="175D39E6"/>
    <w:rsid w:val="19C02943"/>
    <w:rsid w:val="1A9B1F53"/>
    <w:rsid w:val="1B3D4012"/>
    <w:rsid w:val="1B481AFB"/>
    <w:rsid w:val="1CC42EBF"/>
    <w:rsid w:val="1D235F66"/>
    <w:rsid w:val="1D330706"/>
    <w:rsid w:val="1D665A9E"/>
    <w:rsid w:val="1D8D3AB3"/>
    <w:rsid w:val="1DAA72BB"/>
    <w:rsid w:val="1E21472F"/>
    <w:rsid w:val="1E64724C"/>
    <w:rsid w:val="1EB2633F"/>
    <w:rsid w:val="1F4E4096"/>
    <w:rsid w:val="1F51614F"/>
    <w:rsid w:val="20705710"/>
    <w:rsid w:val="211E529B"/>
    <w:rsid w:val="21AE5628"/>
    <w:rsid w:val="22F65827"/>
    <w:rsid w:val="232660FF"/>
    <w:rsid w:val="242B4D98"/>
    <w:rsid w:val="247F3404"/>
    <w:rsid w:val="248512BD"/>
    <w:rsid w:val="258C6F23"/>
    <w:rsid w:val="25A05924"/>
    <w:rsid w:val="25F277D1"/>
    <w:rsid w:val="26F761AC"/>
    <w:rsid w:val="2744098B"/>
    <w:rsid w:val="279F47DB"/>
    <w:rsid w:val="29A003D2"/>
    <w:rsid w:val="2A303947"/>
    <w:rsid w:val="2A4A4D64"/>
    <w:rsid w:val="2AA14025"/>
    <w:rsid w:val="2AA823D6"/>
    <w:rsid w:val="2B2348E2"/>
    <w:rsid w:val="2B23537E"/>
    <w:rsid w:val="2B4515C7"/>
    <w:rsid w:val="2B6707A0"/>
    <w:rsid w:val="2BA00A57"/>
    <w:rsid w:val="2C7F2EA6"/>
    <w:rsid w:val="2D1E05D5"/>
    <w:rsid w:val="2E3836C9"/>
    <w:rsid w:val="2EE262D0"/>
    <w:rsid w:val="3003631E"/>
    <w:rsid w:val="30654861"/>
    <w:rsid w:val="3078124A"/>
    <w:rsid w:val="3090209F"/>
    <w:rsid w:val="30D1263C"/>
    <w:rsid w:val="31DE1118"/>
    <w:rsid w:val="321B713A"/>
    <w:rsid w:val="326667AB"/>
    <w:rsid w:val="32C850C3"/>
    <w:rsid w:val="32D75FDA"/>
    <w:rsid w:val="32D900A8"/>
    <w:rsid w:val="341A3C17"/>
    <w:rsid w:val="35E76B15"/>
    <w:rsid w:val="37231CCD"/>
    <w:rsid w:val="37B80702"/>
    <w:rsid w:val="38FA0996"/>
    <w:rsid w:val="39193DDA"/>
    <w:rsid w:val="396E02FE"/>
    <w:rsid w:val="3AA26C9B"/>
    <w:rsid w:val="3ADC5E36"/>
    <w:rsid w:val="3BAE31AC"/>
    <w:rsid w:val="3C251315"/>
    <w:rsid w:val="3C3F7E0E"/>
    <w:rsid w:val="3CE11D5F"/>
    <w:rsid w:val="3E7A082F"/>
    <w:rsid w:val="3F034D55"/>
    <w:rsid w:val="41C75D77"/>
    <w:rsid w:val="42680181"/>
    <w:rsid w:val="435732B2"/>
    <w:rsid w:val="437906BF"/>
    <w:rsid w:val="44C70D28"/>
    <w:rsid w:val="452560E2"/>
    <w:rsid w:val="454E006C"/>
    <w:rsid w:val="4625557D"/>
    <w:rsid w:val="465173C0"/>
    <w:rsid w:val="47727391"/>
    <w:rsid w:val="49613924"/>
    <w:rsid w:val="498254A8"/>
    <w:rsid w:val="49DD7C63"/>
    <w:rsid w:val="4B3040AF"/>
    <w:rsid w:val="4BC25F9A"/>
    <w:rsid w:val="4C081A35"/>
    <w:rsid w:val="4CF24C8C"/>
    <w:rsid w:val="4D786103"/>
    <w:rsid w:val="4D7A53D1"/>
    <w:rsid w:val="4EB4342C"/>
    <w:rsid w:val="4F2F25EA"/>
    <w:rsid w:val="4FEC19E0"/>
    <w:rsid w:val="50F36CD9"/>
    <w:rsid w:val="526D6C12"/>
    <w:rsid w:val="532E5FD2"/>
    <w:rsid w:val="53AB764B"/>
    <w:rsid w:val="55620B11"/>
    <w:rsid w:val="55E15918"/>
    <w:rsid w:val="56830F29"/>
    <w:rsid w:val="56853455"/>
    <w:rsid w:val="56BF0EA2"/>
    <w:rsid w:val="56CE15F2"/>
    <w:rsid w:val="56F00A64"/>
    <w:rsid w:val="57A329FE"/>
    <w:rsid w:val="59414843"/>
    <w:rsid w:val="59996800"/>
    <w:rsid w:val="5A5B4861"/>
    <w:rsid w:val="5A9A320F"/>
    <w:rsid w:val="5B2C56F7"/>
    <w:rsid w:val="5BDF3319"/>
    <w:rsid w:val="5C584E96"/>
    <w:rsid w:val="5D93468D"/>
    <w:rsid w:val="5DA17FA3"/>
    <w:rsid w:val="5EA87B0A"/>
    <w:rsid w:val="5EB119EE"/>
    <w:rsid w:val="5F8828F6"/>
    <w:rsid w:val="626E2D07"/>
    <w:rsid w:val="62B8321C"/>
    <w:rsid w:val="63766DF5"/>
    <w:rsid w:val="63A965A7"/>
    <w:rsid w:val="63E41E32"/>
    <w:rsid w:val="64622F6A"/>
    <w:rsid w:val="64D368DF"/>
    <w:rsid w:val="655F4311"/>
    <w:rsid w:val="66E97154"/>
    <w:rsid w:val="66F9171A"/>
    <w:rsid w:val="67550DC1"/>
    <w:rsid w:val="6761194F"/>
    <w:rsid w:val="67A01566"/>
    <w:rsid w:val="67A84465"/>
    <w:rsid w:val="69797C2C"/>
    <w:rsid w:val="69FD3490"/>
    <w:rsid w:val="6A890265"/>
    <w:rsid w:val="6C2E50D2"/>
    <w:rsid w:val="6D1112AB"/>
    <w:rsid w:val="6D735E56"/>
    <w:rsid w:val="6D935AB0"/>
    <w:rsid w:val="6E087119"/>
    <w:rsid w:val="6E3E695E"/>
    <w:rsid w:val="6E6910B0"/>
    <w:rsid w:val="6FD9623E"/>
    <w:rsid w:val="705D75FB"/>
    <w:rsid w:val="70D03D2D"/>
    <w:rsid w:val="71173046"/>
    <w:rsid w:val="71A611AE"/>
    <w:rsid w:val="71CD7B90"/>
    <w:rsid w:val="72E9489F"/>
    <w:rsid w:val="73023D3C"/>
    <w:rsid w:val="73E1565D"/>
    <w:rsid w:val="752B0F63"/>
    <w:rsid w:val="75544B2F"/>
    <w:rsid w:val="757415C3"/>
    <w:rsid w:val="760A43BF"/>
    <w:rsid w:val="7710320B"/>
    <w:rsid w:val="77A40E3B"/>
    <w:rsid w:val="783E4597"/>
    <w:rsid w:val="784A356F"/>
    <w:rsid w:val="79085710"/>
    <w:rsid w:val="7A265E0F"/>
    <w:rsid w:val="7AA4263D"/>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7DB7"/>
  <w15:docId w15:val="{D9BBA7A8-C3F0-46E6-A690-974517577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semiHidden/>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paragraph" w:styleId="Revision">
    <w:name w:val="Revision"/>
    <w:hidden/>
    <w:uiPriority w:val="99"/>
    <w:unhideWhenUsed/>
    <w:rsid w:val="009F079C"/>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33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1181</Words>
  <Characters>6733</Characters>
  <Application>Microsoft Office Word</Application>
  <DocSecurity>0</DocSecurity>
  <Lines>56</Lines>
  <Paragraphs>15</Paragraphs>
  <ScaleCrop>false</ScaleCrop>
  <Company>Hewlett-Packard Company</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18</cp:revision>
  <cp:lastPrinted>2113-01-01T00:00:00Z</cp:lastPrinted>
  <dcterms:created xsi:type="dcterms:W3CDTF">2023-05-11T08:48:00Z</dcterms:created>
  <dcterms:modified xsi:type="dcterms:W3CDTF">2023-11-02T15:47:00Z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CF92EBDEE4B7429B81256594BC736BD5</vt:lpwstr>
  </property>
</Properties>
</file>